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091D" w14:textId="719EB918" w:rsidR="003525B2" w:rsidRPr="00761BC9" w:rsidRDefault="003525B2">
      <w:pPr>
        <w:rPr>
          <w:b/>
          <w:bCs/>
          <w:sz w:val="28"/>
          <w:szCs w:val="28"/>
        </w:rPr>
      </w:pPr>
      <w:r w:rsidRPr="00761BC9">
        <w:rPr>
          <w:b/>
          <w:bCs/>
          <w:sz w:val="28"/>
          <w:szCs w:val="28"/>
        </w:rPr>
        <w:t>Änderungen 107</w:t>
      </w:r>
      <w:r w:rsidR="00F85072">
        <w:rPr>
          <w:b/>
          <w:bCs/>
          <w:sz w:val="28"/>
          <w:szCs w:val="28"/>
        </w:rPr>
        <w:t>2</w:t>
      </w:r>
      <w:r w:rsidRPr="00761BC9">
        <w:rPr>
          <w:b/>
          <w:bCs/>
          <w:sz w:val="28"/>
          <w:szCs w:val="28"/>
        </w:rPr>
        <w:t>/2009 zu 2020 gültig ab 21.02.2022 und 21.05.2022</w:t>
      </w:r>
    </w:p>
    <w:p w14:paraId="7872D264" w14:textId="67FE379E" w:rsidR="003525B2" w:rsidRDefault="003525B2"/>
    <w:p w14:paraId="1EA89AD1" w14:textId="155AB419" w:rsidR="003525B2" w:rsidRDefault="003525B2">
      <w:pPr>
        <w:rPr>
          <w:b/>
          <w:bCs/>
        </w:rPr>
      </w:pPr>
      <w:r w:rsidRPr="00702B37">
        <w:rPr>
          <w:b/>
          <w:bCs/>
        </w:rPr>
        <w:t>A</w:t>
      </w:r>
      <w:r w:rsidR="00702B37" w:rsidRPr="00702B37">
        <w:rPr>
          <w:b/>
          <w:bCs/>
        </w:rPr>
        <w:t>RTIKEL</w:t>
      </w:r>
      <w:r w:rsidRPr="00702B37">
        <w:rPr>
          <w:b/>
          <w:bCs/>
        </w:rPr>
        <w:t xml:space="preserve"> 1 </w:t>
      </w:r>
      <w:r w:rsidR="00F85072">
        <w:rPr>
          <w:b/>
          <w:bCs/>
        </w:rPr>
        <w:t>Absatz 5</w:t>
      </w:r>
    </w:p>
    <w:p w14:paraId="40FD106F" w14:textId="77777777" w:rsidR="00A8409C" w:rsidRDefault="00A8409C">
      <w:r>
        <w:t xml:space="preserve">(5) Folgende Beförderungen sowie im Zusammenhang damit durchgeführte Leerfahrten bedürfen keiner Gemeinschaftslizenz und sind von jeglichem Erfordernis einer Beförderungsgenehmigung ausgenommen: </w:t>
      </w:r>
    </w:p>
    <w:p w14:paraId="20A73973" w14:textId="77777777" w:rsidR="00A8409C" w:rsidRDefault="00A8409C">
      <w:r>
        <w:t xml:space="preserve">a) die Beförderung von Postsendungen im Rahmen des Universaldienstes; </w:t>
      </w:r>
    </w:p>
    <w:p w14:paraId="0838479D" w14:textId="77777777" w:rsidR="00A8409C" w:rsidRDefault="00A8409C">
      <w:r>
        <w:t xml:space="preserve">b) die Beförderung von beschädigten oder reparaturbedürftigen Fahrzeugen; </w:t>
      </w:r>
    </w:p>
    <w:p w14:paraId="51804443" w14:textId="451D576E" w:rsidR="00A8409C" w:rsidRDefault="00A8409C">
      <w:r>
        <w:t>ALT</w:t>
      </w:r>
    </w:p>
    <w:p w14:paraId="53BBF0C8" w14:textId="11AFE3B1" w:rsidR="00F85072" w:rsidRDefault="00A8409C">
      <w:r>
        <w:t>c) die Beförderung von Gütern mit Kraftfahrzeugen, deren zulässige Gesamtmasse, einschließlich der Gesamtmasse der Anhänger, 3,5 t nicht übersteigt;</w:t>
      </w:r>
    </w:p>
    <w:p w14:paraId="23BEB0C7" w14:textId="2C82B22A" w:rsidR="00A8409C" w:rsidRDefault="00A8409C">
      <w:r>
        <w:t>NEU</w:t>
      </w:r>
    </w:p>
    <w:p w14:paraId="2CF9C13D" w14:textId="69720A8C" w:rsidR="00A8409C" w:rsidRDefault="00A8409C">
      <w:r>
        <w:t>c) bis zum 20. Mai 2022: die Beförderung von Gütern mit Kraftfahrzeugen, deren zulässige Gesamtmasse 3,5 t nicht überschreitet;</w:t>
      </w:r>
    </w:p>
    <w:p w14:paraId="570B8815" w14:textId="2638F701" w:rsidR="00A8409C" w:rsidRDefault="00A8409C">
      <w:proofErr w:type="spellStart"/>
      <w:r>
        <w:t>ca</w:t>
      </w:r>
      <w:proofErr w:type="spellEnd"/>
      <w:r>
        <w:t>) ab dem 21. Mai 2022: die Beförderung von Gütern mit Kraftfahrzeugen, deren zulässige Gesamtmasse 2,5 t nicht überschreitet;</w:t>
      </w:r>
    </w:p>
    <w:p w14:paraId="7268A086" w14:textId="65C871C1" w:rsidR="00A8409C" w:rsidRPr="00A8409C" w:rsidRDefault="00A8409C">
      <w:pPr>
        <w:rPr>
          <w:b/>
          <w:bCs/>
        </w:rPr>
      </w:pPr>
      <w:r w:rsidRPr="00A8409C">
        <w:rPr>
          <w:b/>
          <w:bCs/>
        </w:rPr>
        <w:t xml:space="preserve">ARTIKEL 4 Absatz 2 </w:t>
      </w:r>
    </w:p>
    <w:p w14:paraId="1AF90E0D" w14:textId="648E9085" w:rsidR="00A8409C" w:rsidRDefault="00A8409C">
      <w:r>
        <w:t>BLEIBT</w:t>
      </w:r>
    </w:p>
    <w:p w14:paraId="2964B8D9" w14:textId="77777777" w:rsidR="00A8409C" w:rsidRDefault="00A8409C">
      <w:r>
        <w:t xml:space="preserve">(2) Die Gemeinschaftslizenz wird von den zuständigen Behörden des Niederlassungsmitgliedstaats für einen verlängerbaren Zeitraum von bis zu zehn Jahren ausgestellt. </w:t>
      </w:r>
    </w:p>
    <w:p w14:paraId="4C4B2D0F" w14:textId="10CD272E" w:rsidR="00A8409C" w:rsidRPr="00F85072" w:rsidRDefault="00A8409C">
      <w:r>
        <w:t>Gemeinschaftslizenzen und beglaubigte Kopien, die vor dem Beginn der Anwendung dieser Verordnung ausgestellt wurden, bleiben bis zum Ablauf ihrer Gültigkeitsdauer gültig.</w:t>
      </w:r>
    </w:p>
    <w:p w14:paraId="65AD5BE2" w14:textId="62300363" w:rsidR="00F85072" w:rsidRDefault="00A8409C">
      <w:r>
        <w:t>Unterabsatz 3 wird gestrichen</w:t>
      </w:r>
    </w:p>
    <w:p w14:paraId="66FEDCE8" w14:textId="5043327D" w:rsidR="00A8409C" w:rsidRDefault="00A8409C">
      <w:r>
        <w:t>BLEIBT</w:t>
      </w:r>
    </w:p>
    <w:p w14:paraId="3CF4D43B" w14:textId="329D99D4" w:rsidR="00A8409C" w:rsidRDefault="00A8409C">
      <w:r>
        <w:t>(3) Der Niederlassungsmitgliedstaat stellt dem Inhaber der Gemeinschaftslizenz die Originallizenz aus, die von dem Verkehrsunternehmer aufbewahrt wird, sowie beglaubigte Kopien in einer Anzahl, die der Zahl der Fahrzeuge entspricht, über die der Inhaber der Gemeinschaftslizenz als Eigentümer oder anderweitig verfügt, insbesondere aus Ratenkauf-, Miet- oder Leasingvertrag.</w:t>
      </w:r>
    </w:p>
    <w:p w14:paraId="632332F4" w14:textId="5B44A910" w:rsidR="00A8409C" w:rsidRDefault="00A8409C">
      <w:r>
        <w:t>NEU</w:t>
      </w:r>
    </w:p>
    <w:p w14:paraId="4D9E517A" w14:textId="77777777" w:rsidR="00A8409C" w:rsidRDefault="00A8409C">
      <w:r>
        <w:t xml:space="preserve">(4) Die Gemeinschaftslizenz und die beglaubigten Kopien entsprechen dem Muster in Anhang II, der auch die Bedingungen für die Verwendung der Gemeinschaftslizenz regelt. Sie weisen mindestens zwei der in Anhang I aufgeführten Sicherheitsmerkmale auf. </w:t>
      </w:r>
    </w:p>
    <w:p w14:paraId="5480A0F9" w14:textId="77777777" w:rsidR="00A8409C" w:rsidRDefault="00A8409C">
      <w:r>
        <w:t xml:space="preserve">Im Fall von Fahrzeugen zur Güterbeförderung, deren zulässige Gesamtmasse 3,5 t nicht überschreitet und für die die geringeren Anforderungen an die finanzielle Leistungsfähigkeit gemäß Artikel 7 Absatz 1 Unterabsatz 2 der Verordnung (EG) Nr. 1071/2009 gelten, vermerkt die ausstellende Behörde im Abschnitt ‚Besondere Bemerkungen‘ der Gemeinschaftslizenz, oder der beglaubigten Kopie davon: ‚≤ 3,5 t‘. </w:t>
      </w:r>
    </w:p>
    <w:p w14:paraId="7416A7DF" w14:textId="65AC5ADA" w:rsidR="00A8409C" w:rsidRDefault="00A8409C">
      <w:r>
        <w:lastRenderedPageBreak/>
        <w:t>Der Kommission wird die Befugnis übertragen, gemäß Artikel 14b delegierte Rechtsakte zur Änderung der Anhänge I und II zu erlassen, um sie an den technischen Fortschritt anzupassen.</w:t>
      </w:r>
    </w:p>
    <w:p w14:paraId="20265AB4" w14:textId="758C080E" w:rsidR="00A8409C" w:rsidRPr="00A8409C" w:rsidRDefault="00A8409C">
      <w:pPr>
        <w:rPr>
          <w:b/>
          <w:bCs/>
        </w:rPr>
      </w:pPr>
      <w:r w:rsidRPr="00A8409C">
        <w:rPr>
          <w:b/>
          <w:bCs/>
        </w:rPr>
        <w:t xml:space="preserve">ARTIKEL 5 Absatz 4 </w:t>
      </w:r>
    </w:p>
    <w:p w14:paraId="181DEFC3" w14:textId="07177405" w:rsidR="00A8409C" w:rsidRDefault="00A8409C">
      <w:r>
        <w:t>ALT</w:t>
      </w:r>
    </w:p>
    <w:p w14:paraId="29CA9CB1" w14:textId="2C4EF74A" w:rsidR="00A8409C" w:rsidRDefault="00A8409C">
      <w:r>
        <w:t>(4) Die Kommission passt Anhang III an den technischen Fortschritt an. Diese Maßnahmen zur Änderung nicht wesentlicher Bestimmungen dieser Verordnung werden nach dem in Artikel 15 Absatz 2 genannten Regelungsverfahren mit Kontrolle erlassen.</w:t>
      </w:r>
    </w:p>
    <w:p w14:paraId="6C718B6D" w14:textId="5654C1BC" w:rsidR="00A8409C" w:rsidRDefault="00A8409C">
      <w:r>
        <w:t>NEU</w:t>
      </w:r>
    </w:p>
    <w:p w14:paraId="0C99368C" w14:textId="35E9202F" w:rsidR="00A8409C" w:rsidRDefault="00A8409C">
      <w:r>
        <w:t>(4) Der Kommission wird die Befugnis übertragen, gemäß Artikel 14b delegierte Rechtsakte zur Änderung des Anhangs III zu erlassen, um ihn an den technischen Fortschritt anzupassen</w:t>
      </w:r>
      <w:r>
        <w:t>.</w:t>
      </w:r>
    </w:p>
    <w:p w14:paraId="4B848450" w14:textId="1B7084C3" w:rsidR="00A8409C" w:rsidRPr="005504FA" w:rsidRDefault="005504FA">
      <w:pPr>
        <w:rPr>
          <w:b/>
          <w:bCs/>
        </w:rPr>
      </w:pPr>
      <w:r w:rsidRPr="005504FA">
        <w:rPr>
          <w:b/>
          <w:bCs/>
        </w:rPr>
        <w:t>ARTIKEL 8</w:t>
      </w:r>
    </w:p>
    <w:p w14:paraId="7CE40E31" w14:textId="77777777" w:rsidR="005504FA" w:rsidRDefault="005504FA">
      <w:r>
        <w:t xml:space="preserve">(1) Jeder Verkehrsunternehmer, der Inhaber einer Gemeinschaftslizenz ist und dessen Fahrer, wenn er Staatsangehöriger eines Drittlandes ist, eine Fahrerbescheinigung mit sich führt, ist unter den in diesem Kapitel festgelegten Bedingungen zur Durchführung von Kabotage berechtigt. </w:t>
      </w:r>
    </w:p>
    <w:p w14:paraId="46A1DA52" w14:textId="05698DA1" w:rsidR="005504FA" w:rsidRDefault="005504FA">
      <w:r>
        <w:t xml:space="preserve">(2) Die in Absatz 1 genannten Güterkraftverkehrsunternehmer sind berechtigt, im Anschluss an eine grenzüberschreitende Beförderung aus einem anderen Mitgliedstaat oder einem Drittland in den Aufnahmemitgliedstaat nach Auslieferung der Güter bis zu drei </w:t>
      </w:r>
      <w:proofErr w:type="spellStart"/>
      <w:r>
        <w:t>Kabotagebeförderungen</w:t>
      </w:r>
      <w:proofErr w:type="spellEnd"/>
      <w:r>
        <w:t xml:space="preserve"> mit demselben Fahrzeug oder im Fall</w:t>
      </w:r>
      <w:r>
        <w:t xml:space="preserve"> </w:t>
      </w:r>
      <w:r>
        <w:t xml:space="preserve">von Fahrzeugkombinationen mit dem Kraftfahrzeug desselben Fahrzeugs durchzuführen. Bei </w:t>
      </w:r>
      <w:proofErr w:type="spellStart"/>
      <w:r>
        <w:t>Kabotagebeförderungen</w:t>
      </w:r>
      <w:proofErr w:type="spellEnd"/>
      <w:r>
        <w:t xml:space="preserve"> erfolgt die letzte Entladung, bevor der Aufnahmemitgliedstaat verlassen wird, innerhalb von sieben Tagen nach der letzten Entladung der in den Aufnahmemitgliedstaat eingeführten Lieferung. Innerhalb der Frist gemäß </w:t>
      </w:r>
      <w:proofErr w:type="gramStart"/>
      <w:r>
        <w:t>Unterabsatz  1</w:t>
      </w:r>
      <w:proofErr w:type="gramEnd"/>
      <w:r>
        <w:t xml:space="preserve"> können die Verkehrsunternehmer einige oder alle der </w:t>
      </w:r>
      <w:proofErr w:type="spellStart"/>
      <w:r>
        <w:t>Kabotagebeförderungen</w:t>
      </w:r>
      <w:proofErr w:type="spellEnd"/>
      <w:r>
        <w:t xml:space="preserve">, zu denen sie gemäß Unterabsatz 1 berechtigt sind, in jedem Mitgliedstaat unter der Voraussetzung durchführen, dass sie auf eine </w:t>
      </w:r>
      <w:proofErr w:type="spellStart"/>
      <w:r>
        <w:t>Kabotagebeförderung</w:t>
      </w:r>
      <w:proofErr w:type="spellEnd"/>
      <w:r>
        <w:t xml:space="preserve"> je Mitgliedstaat innerhalb von drei Tagen nach der Einfahrt des unbeladenen Fahrzeugs in das Hoheitsgebiet dieses Mitgliedstaats beschränkt sind.</w:t>
      </w:r>
    </w:p>
    <w:p w14:paraId="3D6AFF2D" w14:textId="016E2CDD" w:rsidR="005504FA" w:rsidRDefault="005504FA">
      <w:r>
        <w:t>NEU ANGEHÄNGT</w:t>
      </w:r>
    </w:p>
    <w:p w14:paraId="7ABBBB40" w14:textId="0C09FE8C" w:rsidR="005504FA" w:rsidRDefault="005504FA">
      <w:r>
        <w:t xml:space="preserve">(2a) Kraftverkehrsunternehmen dürfen innerhalb von vier Tagen nach Ende ihrer </w:t>
      </w:r>
      <w:proofErr w:type="spellStart"/>
      <w:r>
        <w:t>Kabotagebeförderung</w:t>
      </w:r>
      <w:proofErr w:type="spellEnd"/>
      <w:r>
        <w:t xml:space="preserve"> in einem Mitgliedstaat keine </w:t>
      </w:r>
      <w:proofErr w:type="spellStart"/>
      <w:r>
        <w:t>Kabotagebeförderungen</w:t>
      </w:r>
      <w:proofErr w:type="spellEnd"/>
      <w:r>
        <w:t xml:space="preserve"> mit demselben Fahrzeug oder im Fall einer Fahrzeugkombination mit dem Kraftfahrzeug desselben Fahrzeugs im selben Mitgliedstaat durchführen.</w:t>
      </w:r>
    </w:p>
    <w:p w14:paraId="7EE2288D" w14:textId="312D49D5" w:rsidR="005504FA" w:rsidRDefault="005504FA">
      <w:r>
        <w:t>ALT</w:t>
      </w:r>
    </w:p>
    <w:p w14:paraId="7443A635" w14:textId="6FCD971D" w:rsidR="005504FA" w:rsidRDefault="005504FA">
      <w:r>
        <w:t xml:space="preserve">(3) Innerstaatliche Güterkraftverkehrsdienste, die im Aufnahmemitgliedstaat von gebietsfremden Verkehrsunternehmern durchgeführt werden, sind nur dann mit dieser Verordnung vereinbar, wenn der Verkehrsunternehmer eindeutige Belege für die grenzüberschreitende Beförderung in den betreffenden Mitgliedstaat sowie für jede einzelne der durchgeführten </w:t>
      </w:r>
      <w:proofErr w:type="spellStart"/>
      <w:r>
        <w:t>Kabotagebeförderungen</w:t>
      </w:r>
      <w:proofErr w:type="spellEnd"/>
      <w:r>
        <w:t xml:space="preserve"> vorweisen kann.</w:t>
      </w:r>
    </w:p>
    <w:p w14:paraId="76770AF6" w14:textId="453A9A70" w:rsidR="005504FA" w:rsidRDefault="005504FA">
      <w:r>
        <w:t>NEU</w:t>
      </w:r>
    </w:p>
    <w:p w14:paraId="33F7A362" w14:textId="209FE850" w:rsidR="005504FA" w:rsidRDefault="005504FA">
      <w:r>
        <w:t xml:space="preserve">(3) Innerstaatliche Güterkraftverkehrsdienste, die im Aufnahmemitgliedstaat von gebietsfremden Verkehrsunternehmern durchgeführt werden, gelten nur dann als mit dieser Verordnung vereinbar, wenn der Verkehrsunternehmer eindeutige Belege für die vorhergehende grenzüberschreitende Beförderung sowie für jede durchgeführte </w:t>
      </w:r>
      <w:proofErr w:type="gramStart"/>
      <w:r>
        <w:t>darauf folgende</w:t>
      </w:r>
      <w:proofErr w:type="gramEnd"/>
      <w:r>
        <w:t xml:space="preserve"> </w:t>
      </w:r>
      <w:proofErr w:type="spellStart"/>
      <w:r>
        <w:t>Kabotagebeförderung</w:t>
      </w:r>
      <w:proofErr w:type="spellEnd"/>
      <w:r>
        <w:t xml:space="preserve"> vorweisen kann. Falls sich das Fahrzeug innerhalb der Frist von vier Tagen vor der grenzüberschreitenden Beförderung in dem Hoheitsgebiet des Aufnahmemitgliedstaats befunden hat, muss der Verkehrsunternehmer zudem eindeutige Belege für alle Beförderungen vorlegen, die in diesem Zeitraum durchgeführt wurden.</w:t>
      </w:r>
    </w:p>
    <w:p w14:paraId="41645B7A" w14:textId="2D315A1F" w:rsidR="00A8409C" w:rsidRDefault="005504FA">
      <w:r>
        <w:t>BLEIBT</w:t>
      </w:r>
    </w:p>
    <w:p w14:paraId="6A2C685E" w14:textId="77777777" w:rsidR="005504FA" w:rsidRDefault="005504FA">
      <w:r>
        <w:t xml:space="preserve">Die in Unterabsatz 1 genannten Belege müssen für jede Beförderung folgende Angaben enthalten: </w:t>
      </w:r>
    </w:p>
    <w:p w14:paraId="368A77FD" w14:textId="77777777" w:rsidR="005504FA" w:rsidRDefault="005504FA">
      <w:r>
        <w:t xml:space="preserve">a) Name, Anschrift und Unterschrift des Absenders; </w:t>
      </w:r>
    </w:p>
    <w:p w14:paraId="5B191DAE" w14:textId="77777777" w:rsidR="005504FA" w:rsidRDefault="005504FA">
      <w:r>
        <w:t xml:space="preserve">b) Name, Anschrift und Unterschrift des Verkehrsunternehmers; </w:t>
      </w:r>
    </w:p>
    <w:p w14:paraId="74AC94F1" w14:textId="77777777" w:rsidR="005504FA" w:rsidRDefault="005504FA">
      <w:r>
        <w:t xml:space="preserve">c) Name und Anschrift des Empfängers sowie nach erfolgter Lieferung dessen Unterschrift und das Datum der Lieferung; </w:t>
      </w:r>
    </w:p>
    <w:p w14:paraId="360B06C2" w14:textId="77777777" w:rsidR="005504FA" w:rsidRDefault="005504FA">
      <w:r>
        <w:t xml:space="preserve">d) Ort und Datum der Übernahme der Ware sowie die Lieferadresse; </w:t>
      </w:r>
    </w:p>
    <w:p w14:paraId="3EBF039B" w14:textId="77777777" w:rsidR="005504FA" w:rsidRDefault="005504FA">
      <w:r>
        <w:t xml:space="preserve">e) die übliche Beschreibung der Art der Ware und ihrer Verpackung sowie bei Gefahrgütern ihre allgemein anerkannte Beschreibung, die Anzahl der Packstücke sowie deren besondere Zeichen und Nummern; </w:t>
      </w:r>
    </w:p>
    <w:p w14:paraId="58D77CA8" w14:textId="77777777" w:rsidR="005504FA" w:rsidRDefault="005504FA">
      <w:r>
        <w:t xml:space="preserve">f) die Bruttomasse der Güter oder eine sonstige Mengenangabe; </w:t>
      </w:r>
    </w:p>
    <w:p w14:paraId="7981DC77" w14:textId="77777777" w:rsidR="005504FA" w:rsidRDefault="005504FA">
      <w:r>
        <w:t xml:space="preserve">g) das amtliche Kennzeichen des Kraftfahrzeugs und des Anhängers. </w:t>
      </w:r>
    </w:p>
    <w:p w14:paraId="595B15AD" w14:textId="5DD618CA" w:rsidR="005504FA" w:rsidRDefault="005504FA">
      <w:r>
        <w:t>(4) Es sind keine zusätzlichen Dokumente erforderlich, um nachzuweisen, dass die in diesem Artikel festgelegten Voraussetzungen erfüllt sind.</w:t>
      </w:r>
    </w:p>
    <w:p w14:paraId="66383CC8" w14:textId="47061816" w:rsidR="00A8409C" w:rsidRDefault="005504FA">
      <w:r>
        <w:t>NEU ANGEHÄNGT</w:t>
      </w:r>
    </w:p>
    <w:p w14:paraId="4FD6D7FC" w14:textId="67B87560" w:rsidR="005504FA" w:rsidRDefault="005504FA">
      <w:r>
        <w:t>(4a) Die Belege nach Absatz 3 werden dem Kontrollberechtigten des Aufnahmemitgliedstaats während der Straßenkontrolle auf Verlangen ausgehändigt oder übermittelt. Sie können vorgezeigt oder unter Verwendung eines revidierbaren strukturierten Formats elektronisch übermittelt werden, das direkt für die Speicherung und die Verarbeitung durch Computer genutzt werden kann, beispielsweise einem elektronischen Frachtbrief (e-CMR) gemäß dem Zusatzprotokoll zum Übereinkommen über den Beförderungsvertrag im internationalen Straßengüterverkehr (CMR) betreffend den elektronischen Frachtbrief vom 20. Februar 2008. Der Fahrer ist berechtigt, während der Straßenkontrolle die Hauptverwaltung, den Verkehrsleiter oder jede andere Person oder Stelle zu kontaktieren, um in Absatz 3 genannte Belege vor dem Abschluss der Straßenkontrolle bereitzustellen.</w:t>
      </w:r>
    </w:p>
    <w:p w14:paraId="2A7BCCB4" w14:textId="00B713E7" w:rsidR="005504FA" w:rsidRDefault="005504FA">
      <w:r>
        <w:t>ALT</w:t>
      </w:r>
    </w:p>
    <w:p w14:paraId="0A8340B7" w14:textId="51492DC2" w:rsidR="005504FA" w:rsidRDefault="005504FA">
      <w:r>
        <w:t xml:space="preserve">(5) Jeder Verkehrsunternehmer, der im Niederlassungsmitgliedstaat in Übereinstimmung mit dessen Rechtsvorschriften berechtigt ist, den in </w:t>
      </w:r>
      <w:proofErr w:type="gramStart"/>
      <w:r>
        <w:t>Artikel  1</w:t>
      </w:r>
      <w:proofErr w:type="gramEnd"/>
      <w:r>
        <w:t xml:space="preserve"> Absatz  5 Buchstaben  a, b und  c gewerblichen Güterkraftverkehr durchzuführen, ist unter den Bedingungen dieses Kapitels berechtigt, die Kabotage der gleichen Art bzw. die Kabotage mit Fahrzeugen der gleichen Kategorie durchzuführen.</w:t>
      </w:r>
    </w:p>
    <w:p w14:paraId="7F6D4E61" w14:textId="1A59B285" w:rsidR="005504FA" w:rsidRDefault="005504FA">
      <w:r>
        <w:t>NEU</w:t>
      </w:r>
    </w:p>
    <w:p w14:paraId="7E224C9D" w14:textId="2735627D" w:rsidR="005504FA" w:rsidRDefault="005504FA">
      <w:r>
        <w:t xml:space="preserve">(5) Jeder Verkehrsunternehmer, der im Mitgliedstaat der Niederlassung gemäß dessen Rechtsvorschriften berechtigt ist, den in Artikel 1 Absatz 5 Buchstaben a bis </w:t>
      </w:r>
      <w:proofErr w:type="spellStart"/>
      <w:r>
        <w:t>ca</w:t>
      </w:r>
      <w:proofErr w:type="spellEnd"/>
      <w:r>
        <w:t xml:space="preserve"> aufgeführten gewerblichen Güterkraftverkehr durchzuführen, ist unter den Bedingungen des vorliegenden Kapitels berechtigt, Kabotage der gleichen Art bzw. Kabotage mit Fahrzeugen der gleichen Kategorie durchzuführen.</w:t>
      </w:r>
    </w:p>
    <w:p w14:paraId="4610212A" w14:textId="2AE088F2" w:rsidR="005504FA" w:rsidRPr="00A50FB8" w:rsidRDefault="005504FA">
      <w:pPr>
        <w:rPr>
          <w:b/>
          <w:bCs/>
        </w:rPr>
      </w:pPr>
      <w:r w:rsidRPr="00A50FB8">
        <w:rPr>
          <w:b/>
          <w:bCs/>
        </w:rPr>
        <w:t>ARTIKEL 10 Absatz 3 Unterabsatz 1</w:t>
      </w:r>
    </w:p>
    <w:p w14:paraId="02F26EC1" w14:textId="5D545A47" w:rsidR="005504FA" w:rsidRDefault="005504FA">
      <w:r>
        <w:t>ALT</w:t>
      </w:r>
    </w:p>
    <w:p w14:paraId="081844D7" w14:textId="471C408D" w:rsidR="005504FA" w:rsidRDefault="00A50FB8">
      <w:r>
        <w:t>(3) Die Kommission prüft den Fall insbesondere anhand der einschlägigen Daten und entscheidet nach Anhörung des Ausschusses nach Artikel 15 Absatz 1 innerhalb eines Monats nach Eingang des Antrags des Mitgliedstaats, ob Schutzmaßnahmen erforderlich sind, und ordnet diese gegebenenfalls an.</w:t>
      </w:r>
    </w:p>
    <w:p w14:paraId="7F1B6316" w14:textId="0C752B0C" w:rsidR="005504FA" w:rsidRDefault="00A50FB8">
      <w:r>
        <w:t>NEU</w:t>
      </w:r>
    </w:p>
    <w:p w14:paraId="060113AD" w14:textId="622C1C10" w:rsidR="00A50FB8" w:rsidRDefault="00A50FB8">
      <w:r>
        <w:t>(3) Die Kommission prüft den Fall insbesondere anhand der einschlägigen Daten und entscheidet nach Anhörung des gemäß Artikel 42 Absatz 1 der Verordnung (EU) Nr. 165/2014 des Europäischen Parlaments und des Rates (*) eingesetzten Ausschusses innerhalb eines Monats nach Eingang des Antrags des Mitgliedstaats, ob Schutzmaßnahmen erforderlich sind, und ordnet diese gegebenenfalls an</w:t>
      </w:r>
      <w:r>
        <w:t>.</w:t>
      </w:r>
    </w:p>
    <w:p w14:paraId="513D78EA" w14:textId="6A8A0670" w:rsidR="00A50FB8" w:rsidRDefault="00A50FB8">
      <w:r>
        <w:t>NEU ANGEHÄNGT</w:t>
      </w:r>
    </w:p>
    <w:p w14:paraId="4C25EF2C" w14:textId="04BFCC03" w:rsidR="00A50FB8" w:rsidRDefault="00A50FB8">
      <w:r>
        <w:t>(7) Zusätzlich zu den Absätzen 1 bis 6 des vorliegenden Artikels und abweichend von Artikel 4 der Richtlinie 92/106/EWG können Mitgliedstaaten, wenn das zur Vermeidung von Missbrauch der letztgenannten Bestimmung durch unbegrenzte und ununterbrochene Verkehrsdienste in Form von Zu- oder Ablaufverkehren auf der Straße innerhalb eines Aufnahmemitgliedstaats als Bestandteil des kombinierten Verkehrs zwischen Mitgliedstaaten erforderlich ist, vorsehen, dass Artikel 8 der vorliegenden Verordnung für Verkehrsunternehmer im Fall solcher Zu- oder Ablaufverkehre auf der Straße innerhalb dieses Mitgliedstaats Anwendung findet. Für derartige Zu- und/oder Ablaufverkehre auf der Straße können die Mitgliedstaaten einen längeren als den in Artikel 8 Absatz 2 der vorliegenden Verordnung vorgesehenen Zeitraum von sieben Tagen und einen kürzeren als den in Artikel 8 Absatz 2a der vorliegenden Verordnung vorgesehenen Zeitraum von vier Tagen vorsehen. Die Anwendung von Artikel 8 Absatz 4 der vorliegenden Verordnung auf derartige Beförderungen berührt nicht die Anforderungen, die sich aus der Richtlinie 92/106/EWG ergeben. Mitgliedstaaten, die von der im vorliegenden Absatz vorgesehenen Abweichung Gebrauch machen, unterrichten hiervon die Kommission, bevor sie ihre einschlägigen einzelstaatlichen Maßnahmen anwenden. Sie überprüfen diese Maßnahmen mindestens alle fünf Jahre und unterrichten die Kommission über die Ergebnisse dieser Überprüfung. Sie machen die Vorschriften, einschließlich der jeweiligen Fristen, in transparenter Weise öffentlich zugänglich.</w:t>
      </w:r>
    </w:p>
    <w:p w14:paraId="121B4BE6" w14:textId="49DC678D" w:rsidR="00A8409C" w:rsidRDefault="00A50FB8">
      <w:r>
        <w:t>NEU ANGEHÄNGT</w:t>
      </w:r>
    </w:p>
    <w:p w14:paraId="277D70B5" w14:textId="539AB511" w:rsidR="00A50FB8" w:rsidRPr="00A50FB8" w:rsidRDefault="00A50FB8">
      <w:pPr>
        <w:rPr>
          <w:b/>
          <w:bCs/>
        </w:rPr>
      </w:pPr>
      <w:r w:rsidRPr="00A50FB8">
        <w:rPr>
          <w:b/>
          <w:bCs/>
        </w:rPr>
        <w:t>ARTIKEL 10a</w:t>
      </w:r>
    </w:p>
    <w:p w14:paraId="3FD8D092" w14:textId="77777777" w:rsidR="00A50FB8" w:rsidRDefault="00A50FB8">
      <w:r>
        <w:t xml:space="preserve">Kontrollen </w:t>
      </w:r>
    </w:p>
    <w:p w14:paraId="1F1C0E7E" w14:textId="1264CB52" w:rsidR="00A50FB8" w:rsidRDefault="00A50FB8">
      <w:r>
        <w:t xml:space="preserve">(1) Um die Verpflichtungen aus diesem Kapitel auch weiter durchzusetzen, stellen die Mitgliedstaaten sicher, dass in ihrem jeweiligen Hoheitsgebiet eine schlüssige nationale Durchsetzungsstrategie angewandt wird. Diese Strategie muss besonders auf die in Artikel 9 der Richtlinie 2006/22/EG des Europäischen Parlaments und des Rates (*) genannten Unternehmen mit einer hohen Risikoeinstufung ausgerichtet sein. </w:t>
      </w:r>
    </w:p>
    <w:p w14:paraId="71212A02" w14:textId="5DE11629" w:rsidR="00A50FB8" w:rsidRDefault="00A50FB8">
      <w:r>
        <w:t xml:space="preserve">(2) Jeder Mitgliedstaat stellt sicher, dass die in Artikel 2 der Richtlinie 2006/22/EG vorgesehenen Kontrollen gegebenenfalls Kontrollen von </w:t>
      </w:r>
      <w:proofErr w:type="spellStart"/>
      <w:r>
        <w:t>Kabotagebeförderungen</w:t>
      </w:r>
      <w:proofErr w:type="spellEnd"/>
      <w:r>
        <w:t xml:space="preserve"> umfassen.</w:t>
      </w:r>
    </w:p>
    <w:p w14:paraId="505F2F8F" w14:textId="5C7E096A" w:rsidR="00A8409C" w:rsidRDefault="00A50FB8">
      <w:r>
        <w:t xml:space="preserve">(3) Die Mitgliedstaaten führen mindestens zweimal jährlich miteinander abgestimmte Straßenkontrollen von </w:t>
      </w:r>
      <w:proofErr w:type="spellStart"/>
      <w:r>
        <w:t>Kabotagebeförderungen</w:t>
      </w:r>
      <w:proofErr w:type="spellEnd"/>
      <w:r>
        <w:t xml:space="preserve"> durch. Diese Kontrollen werden gleichzeitig von den nationalen Behörden zweier oder mehrerer Mitgliedstaaten, die für die Durchsetzung der Vorschriften im Straßenverkehr zuständig sind, in ihren jeweiligen Hoheitsgebieten durchgeführt. Die Mitgliedstaaten können diese Maßnahmen mit den Maßnahmen nach Artikel 5 der Richtlinie 2006/22/EG kombinieren. Die einzelstaatlichen Kontaktstellen nach Artikel 18 Absatz 1 der Verordnung (EG) Nr. 1071/2009 tauschen nach der Durchführung der abgestimmten Straßenkontrollen Informationen über Anzahl und Art der festgestellten Verstöße aus.</w:t>
      </w:r>
    </w:p>
    <w:p w14:paraId="7DD451D8" w14:textId="546BE0DD" w:rsidR="00A8409C" w:rsidRPr="00A50FB8" w:rsidRDefault="00A50FB8">
      <w:pPr>
        <w:rPr>
          <w:b/>
          <w:bCs/>
        </w:rPr>
      </w:pPr>
      <w:r w:rsidRPr="00A50FB8">
        <w:rPr>
          <w:b/>
          <w:bCs/>
        </w:rPr>
        <w:t>ARTIKEL 14</w:t>
      </w:r>
    </w:p>
    <w:p w14:paraId="764BF4ED" w14:textId="41BE2FD8" w:rsidR="00A50FB8" w:rsidRDefault="00A50FB8">
      <w:r>
        <w:t>Eintrag in die einzelstaatlichen elektronischen Register Die Mitgliedstaaten stellen sicher, dass schwerwiegende Verstöße gegen Gemeinschaftsvorschriften im Bereich des Straßenverkehrs durch in ihrem Hoheitsgebiet niedergelassene Verkehrsunternehmer, die in einem Mitgliedstaat zur Verhängung von Sanktionen geführt haben, sowie jeder befristete oder dauerhafte Entzug der Gemeinschaftslizenz oder deren beglaubigter Kopie in das einzelstaatliche elektronische Register der Kraftverkehrsunternehmen eingetragen werden. Einträge im Register, die einen befristeten oder dauerhaften Entzug einer Gemeinschaftslizenz betreffen, bleiben zwei Jahre in der Datenbank gespeichert; die Zweijahresfrist wird im Falle eines befristeten Entzugs ab dem Ablauf des Entzugszeitraums oder im Falle eines dauerhaften Entzugs ab dem Zeitpunkt des Entzugs berechnet.</w:t>
      </w:r>
    </w:p>
    <w:p w14:paraId="499E5055" w14:textId="383E40BE" w:rsidR="00A50FB8" w:rsidRDefault="00A50FB8">
      <w:r>
        <w:t>NEU ANGEHÄNGT</w:t>
      </w:r>
    </w:p>
    <w:p w14:paraId="0D2F680D" w14:textId="77777777" w:rsidR="00A50FB8" w:rsidRPr="00A50FB8" w:rsidRDefault="00A50FB8">
      <w:pPr>
        <w:rPr>
          <w:b/>
          <w:bCs/>
        </w:rPr>
      </w:pPr>
      <w:r w:rsidRPr="00A50FB8">
        <w:rPr>
          <w:b/>
          <w:bCs/>
        </w:rPr>
        <w:t xml:space="preserve">Artikel 14a </w:t>
      </w:r>
    </w:p>
    <w:p w14:paraId="0DC0AF91" w14:textId="77777777" w:rsidR="00A50FB8" w:rsidRDefault="00A50FB8">
      <w:r>
        <w:t xml:space="preserve">Haftung </w:t>
      </w:r>
    </w:p>
    <w:p w14:paraId="30231553" w14:textId="77777777" w:rsidR="00A50FB8" w:rsidRDefault="00A50FB8">
      <w:r>
        <w:t xml:space="preserve">Die Mitgliedstaaten erlassen Vorschriften über Sanktionen gegen Versender, Spediteure, Auftragnehmer und Unterauftragnehmer bei Verstößen gegen die Kapitel II oder III, wenn diese wussten oder angesichts aller relevanten Umstände hätten wissen müssen, dass mit den Verkehrsdiensten, die sie in Auftrag gegeben haben, gegen diese Verordnung verstoßen wird. </w:t>
      </w:r>
    </w:p>
    <w:p w14:paraId="1161A2A8" w14:textId="77777777" w:rsidR="00A50FB8" w:rsidRPr="00A50FB8" w:rsidRDefault="00A50FB8">
      <w:pPr>
        <w:rPr>
          <w:b/>
          <w:bCs/>
        </w:rPr>
      </w:pPr>
      <w:r w:rsidRPr="00A50FB8">
        <w:rPr>
          <w:b/>
          <w:bCs/>
        </w:rPr>
        <w:t xml:space="preserve">Artikel 14b </w:t>
      </w:r>
    </w:p>
    <w:p w14:paraId="2EE66497" w14:textId="77777777" w:rsidR="00A50FB8" w:rsidRDefault="00A50FB8">
      <w:r>
        <w:t xml:space="preserve">Ausübung der </w:t>
      </w:r>
      <w:proofErr w:type="spellStart"/>
      <w:r>
        <w:t>Befugnisübertragung</w:t>
      </w:r>
      <w:proofErr w:type="spellEnd"/>
      <w:r>
        <w:t xml:space="preserve"> </w:t>
      </w:r>
    </w:p>
    <w:p w14:paraId="403BA738" w14:textId="77777777" w:rsidR="00A50FB8" w:rsidRDefault="00A50FB8">
      <w:r>
        <w:t xml:space="preserve">(1) Die Befugnis zum Erlass delegierter Rechtsakte wird der Kommission unter den in diesem Artikel festgelegten Bedingungen übertragen. </w:t>
      </w:r>
    </w:p>
    <w:p w14:paraId="293D9779" w14:textId="77777777" w:rsidR="00A50FB8" w:rsidRDefault="00A50FB8">
      <w:r>
        <w:t xml:space="preserve">(2) Die Befugnis zum Erlass delegierter Rechtsakte gemäß Artikel 4 Absatz 4 und Artikel 5 Absatz 4 wird der Kommission auf unbestimmte Zeit ab dem 20. August 2020 übertragen. </w:t>
      </w:r>
    </w:p>
    <w:p w14:paraId="11B8DF75" w14:textId="77777777" w:rsidR="00A50FB8" w:rsidRDefault="00A50FB8">
      <w:r>
        <w:t xml:space="preserve">(3) Die </w:t>
      </w:r>
      <w:proofErr w:type="spellStart"/>
      <w:r>
        <w:t>Befugnisübertragung</w:t>
      </w:r>
      <w:proofErr w:type="spellEnd"/>
      <w:r>
        <w:t xml:space="preserve"> gemäß Artikel 4 Absatz 4 und Artikel 5 Absatz 4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 </w:t>
      </w:r>
    </w:p>
    <w:p w14:paraId="3A0A713C" w14:textId="77777777" w:rsidR="00A50FB8" w:rsidRDefault="00A50FB8">
      <w:r>
        <w:t xml:space="preserve">(4) Vor dem Erlass eines delegierten Rechtsakts konsultiert die Kommission die von den einzelnen Mitgliedstaaten benannten Sachverständigen im Einklang mit den in der Interinstitutionellen Vereinbarung vom 13. April 2016 über bessere Rechtsetzung (*) enthaltenen Grundsätzen. </w:t>
      </w:r>
    </w:p>
    <w:p w14:paraId="468713EC" w14:textId="77777777" w:rsidR="00A50FB8" w:rsidRDefault="00A50FB8">
      <w:r>
        <w:t xml:space="preserve">(5) Sobald die Kommission einen delegierten Rechtsakt erlässt, übermittelt sie ihn gleichzeitig dem Europäischen Parlament und dem Rat. </w:t>
      </w:r>
    </w:p>
    <w:p w14:paraId="4746999B" w14:textId="3DA6E409" w:rsidR="00A50FB8" w:rsidRDefault="00A50FB8">
      <w:r>
        <w:t>(6) Ein delegierter Rechtsakt, der gemäß Artikel 4 Absatz 4 und Artikel 5 Absatz 4 erlassen wurde, tritt nur in Kraft, wenn weder das Europäische Parlament noch der Rat innerhalb einer Frist von zwei Monaten nach Übermittlung dieses Rechtsakts an das Europäische Parlament und den Rat Einwände erhoben haben oder wenn vor Ablauf dieser Frist sowohl das Europäische Parlament als auch der Rat der Kommission mitgeteilt haben, dass sie keine Einwände erheben werden. Auf Initiative des Europäischen Parlaments oder des Rates wird diese Frist um zwei Monate verlängert.</w:t>
      </w:r>
    </w:p>
    <w:p w14:paraId="7AAE3532" w14:textId="4A7D066C" w:rsidR="00A50FB8" w:rsidRPr="00A50FB8" w:rsidRDefault="00A50FB8">
      <w:pPr>
        <w:rPr>
          <w:b/>
          <w:bCs/>
        </w:rPr>
      </w:pPr>
      <w:r w:rsidRPr="00A50FB8">
        <w:rPr>
          <w:b/>
          <w:bCs/>
        </w:rPr>
        <w:t>ARTIKEL 15 Ausschussverfahren wird gestrichen</w:t>
      </w:r>
    </w:p>
    <w:p w14:paraId="6D2D101D" w14:textId="68D91BD4" w:rsidR="00A50FB8" w:rsidRPr="00250662" w:rsidRDefault="00A50FB8">
      <w:pPr>
        <w:rPr>
          <w:b/>
          <w:bCs/>
        </w:rPr>
      </w:pPr>
      <w:r w:rsidRPr="00250662">
        <w:rPr>
          <w:b/>
          <w:bCs/>
        </w:rPr>
        <w:t>ARTIKEL 17</w:t>
      </w:r>
    </w:p>
    <w:p w14:paraId="6C0D866E" w14:textId="1BF8239E" w:rsidR="00A50FB8" w:rsidRDefault="00A50FB8">
      <w:r>
        <w:t>Neuer Titel</w:t>
      </w:r>
    </w:p>
    <w:p w14:paraId="197B169A" w14:textId="7BE6A119" w:rsidR="00A50FB8" w:rsidRDefault="00A50FB8">
      <w:r>
        <w:t>Bericht</w:t>
      </w:r>
      <w:r w:rsidR="00250662">
        <w:t>erstattung und Überprüfung</w:t>
      </w:r>
    </w:p>
    <w:p w14:paraId="59BF2B6D" w14:textId="1F884DCB" w:rsidR="00250662" w:rsidRDefault="00250662" w:rsidP="00250662">
      <w:r>
        <w:t xml:space="preserve">(1) </w:t>
      </w:r>
      <w:r>
        <w:t>Die Mitgliedstaaten unterrichten die Kommission spätestens am 31. März jedes zweiten Jahres von der Anzahl der Verkehrsunternehmer, die jeweils am 31. Dezember der vorangegangenen beiden Jahre Inhaber einer Gemeinschaftslizenz waren, und von der Anzahl der beglaubigten Kopien für die zu diesem Zeitpunkt zugelassenen Fahrzeuge. Die Berichte für den Zeitraum nach dem 20. Mai 2022 enthalten auch eine Aufschlüsselung dieser Positionen nach Güterkraftverkehrsunternehmern, die grenzüberschreitende Beförderungen ausschließlich mit Fahrzeugen durchführen, deren zulässige Gesamtmasse 3,5 t nicht überschreitet, und den sonstigen Güterkraftverkehrsunternehmen.</w:t>
      </w:r>
    </w:p>
    <w:p w14:paraId="0FF5DB75" w14:textId="77777777" w:rsidR="00250662" w:rsidRDefault="00250662" w:rsidP="00250662">
      <w:r>
        <w:t xml:space="preserve">(2) Die Mitgliedstaaten teilen der Kommission spätestens am 31. März jedes zweiten Jahres die Anzahl der in den vorangegangenen beiden Kalenderjahren jeweils ausgestellten Fahrerbescheinigungen sowie die Anzahl der Fahrerbescheinigungen mit, die sich jeweils am 31. Dezember der vorangegangen </w:t>
      </w:r>
      <w:proofErr w:type="gramStart"/>
      <w:r>
        <w:t>beiden Kalenderjahre</w:t>
      </w:r>
      <w:proofErr w:type="gramEnd"/>
      <w:r>
        <w:t xml:space="preserve"> insgesamt im Umlauf befanden. Die Berichte für den Zeitraum nach dem 20. Mai 2022 enthalten auch eine Aufschlüsselung dieser Positionen nach Güterkraftverkehrsunternehmern, die grenzüberschreitende Beförderungen ausschließlich mit Fahrzeugen durchführen, deren zulässige Gesamtmasse 3,5 t nicht überschreitet, und den sonstigen Güterkraftverkehrsunternehmen. </w:t>
      </w:r>
    </w:p>
    <w:p w14:paraId="6345BE3B" w14:textId="77777777" w:rsidR="00250662" w:rsidRDefault="00250662" w:rsidP="00250662">
      <w:r>
        <w:t xml:space="preserve">(3) Die Mitgliedstaaten übermitteln der Kommission spätestens am 21. August 2022 ihre jeweilige gemäß Artikel 10a angenommene nationale Durchsetzungsstrategie. Die Mitgliedstaaten unterrichten die Kommission spätestens am 31. März jedes Jahres von den im vorangegangenen Kalenderjahr gemäß Artikel 10a durchgeführten Durchsetzungsmaßnahmen, einschließlich gegebenenfalls der Anzahl der durchgeführten Kontrollen. Diese Angaben umfassen auch die Anzahl der überprüften Fahrzeuge. </w:t>
      </w:r>
    </w:p>
    <w:p w14:paraId="5E4367B3" w14:textId="77777777" w:rsidR="00250662" w:rsidRDefault="00250662" w:rsidP="00250662">
      <w:r>
        <w:t xml:space="preserve">(4) Die Kommission erstellt bis 21. August 2024 einen Bericht über die Lage auf dem Güterkraftverkehrsmarkt der Union. Dieser Bericht enthält eine Analyse der Marktlage einschließlich einer Bewertung der Wirksamkeit der Kontrollen und der Entwicklung der Beschäftigungsbedingungen in der Branche. </w:t>
      </w:r>
    </w:p>
    <w:p w14:paraId="7D77D5E6" w14:textId="77777777" w:rsidR="00250662" w:rsidRDefault="00250662" w:rsidP="00250662">
      <w:r>
        <w:t xml:space="preserve">(5) Die Kommission überprüft die Umsetzung dieser Verordnung, insbesondere die Auswirkungen der mit der Verordnung (EU) 2020/1055 des Europäischen Parlaments und des Rates (*) eingeführten Änderungen des Artikels 8, bis zum 21. August 2023 und erstattet dem Europäischen Parlament und dem Rat Bericht über die Anwendung dieser Verordnung. </w:t>
      </w:r>
    </w:p>
    <w:p w14:paraId="6EA58DFF" w14:textId="77777777" w:rsidR="00250662" w:rsidRDefault="00250662" w:rsidP="00250662">
      <w:r>
        <w:t xml:space="preserve">(6) Nach Vorlage des Berichts nach Absatz 5 überprüft die Kommission diese Verordnung regelmäßig und legt die Ergebnisse ihrer Überprüfung dem Europäischen Parlament und dem Rat vor. </w:t>
      </w:r>
    </w:p>
    <w:p w14:paraId="124D9EAC" w14:textId="5F2BC787" w:rsidR="00A8409C" w:rsidRPr="00F85072" w:rsidRDefault="00250662">
      <w:r>
        <w:t>(7) Den in den Absätzen 5 und 6 genannten Berichten werden gegebenenfalls geeignete Gesetzgebungsvorschläge beigefügt.</w:t>
      </w:r>
    </w:p>
    <w:sectPr w:rsidR="00A8409C" w:rsidRPr="00F85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9EF"/>
    <w:multiLevelType w:val="hybridMultilevel"/>
    <w:tmpl w:val="526677C4"/>
    <w:lvl w:ilvl="0" w:tplc="00EE06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733700"/>
    <w:multiLevelType w:val="hybridMultilevel"/>
    <w:tmpl w:val="5F4EB5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2B77D6"/>
    <w:multiLevelType w:val="hybridMultilevel"/>
    <w:tmpl w:val="7B3AE4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4E4076"/>
    <w:multiLevelType w:val="hybridMultilevel"/>
    <w:tmpl w:val="AE240F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AD68AC"/>
    <w:multiLevelType w:val="hybridMultilevel"/>
    <w:tmpl w:val="50C283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A259C2"/>
    <w:multiLevelType w:val="hybridMultilevel"/>
    <w:tmpl w:val="41CC81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0915DC"/>
    <w:multiLevelType w:val="hybridMultilevel"/>
    <w:tmpl w:val="89ECAF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B2"/>
    <w:rsid w:val="00152870"/>
    <w:rsid w:val="001E1454"/>
    <w:rsid w:val="001E559B"/>
    <w:rsid w:val="0020660E"/>
    <w:rsid w:val="00250662"/>
    <w:rsid w:val="003525B2"/>
    <w:rsid w:val="005504FA"/>
    <w:rsid w:val="005A49B6"/>
    <w:rsid w:val="005B14E8"/>
    <w:rsid w:val="00667900"/>
    <w:rsid w:val="00702B37"/>
    <w:rsid w:val="00761BC9"/>
    <w:rsid w:val="008559EF"/>
    <w:rsid w:val="009250DE"/>
    <w:rsid w:val="00A50FB8"/>
    <w:rsid w:val="00A8409C"/>
    <w:rsid w:val="00B24D6C"/>
    <w:rsid w:val="00C20320"/>
    <w:rsid w:val="00E43F32"/>
    <w:rsid w:val="00E727D3"/>
    <w:rsid w:val="00F85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B92C"/>
  <w15:chartTrackingRefBased/>
  <w15:docId w15:val="{05E4C777-D0A9-49CD-BA69-0DE324CE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15280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Daniels</dc:creator>
  <cp:keywords/>
  <dc:description/>
  <cp:lastModifiedBy>Achim Daniels</cp:lastModifiedBy>
  <cp:revision>2</cp:revision>
  <dcterms:created xsi:type="dcterms:W3CDTF">2022-02-03T16:44:00Z</dcterms:created>
  <dcterms:modified xsi:type="dcterms:W3CDTF">2022-02-03T16:44:00Z</dcterms:modified>
</cp:coreProperties>
</file>